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4F" w:rsidRPr="009354B0" w:rsidRDefault="00AF144F" w:rsidP="00AF144F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:rsidR="00637E0F" w:rsidRDefault="00AF144F" w:rsidP="00637E0F">
      <w:pPr>
        <w:spacing w:after="100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</w:p>
    <w:p w:rsidR="00AF144F" w:rsidRDefault="00C0223D" w:rsidP="00637E0F">
      <w:pPr>
        <w:spacing w:after="100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hyperlink r:id="rId8" w:history="1">
        <w:r w:rsidR="00637E0F" w:rsidRPr="00637E0F">
          <w:rPr>
            <w:rStyle w:val="Lienhypertexte"/>
            <w:rFonts w:ascii="Arial" w:eastAsia="Times New Roman" w:hAnsi="Arial" w:cs="Arial"/>
            <w:b/>
            <w:bCs/>
            <w:sz w:val="19"/>
            <w:szCs w:val="19"/>
          </w:rPr>
          <w:t>http://labex-mme-dii.u-cergy.fr/</w:t>
        </w:r>
      </w:hyperlink>
    </w:p>
    <w:p w:rsidR="00637E0F" w:rsidRDefault="00637E0F" w:rsidP="00652D2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</w:p>
    <w:p w:rsidR="00652D22" w:rsidRPr="009B2114" w:rsidRDefault="00652D22" w:rsidP="00652D2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CANDIDATURE </w:t>
      </w:r>
      <w:r w:rsidR="00C544C2"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C544C2" w:rsidRPr="00BE0C4C">
        <w:rPr>
          <w:rFonts w:ascii="Arial" w:eastAsia="Times New Roman" w:hAnsi="Arial" w:cs="Arial"/>
          <w:b/>
          <w:bCs/>
          <w:color w:val="7A7A7A"/>
          <w:sz w:val="28"/>
          <w:szCs w:val="28"/>
          <w:u w:val="single"/>
        </w:rPr>
        <w:t xml:space="preserve">CHAIRE </w:t>
      </w:r>
      <w:r w:rsidR="00BE0C4C" w:rsidRPr="00BE0C4C">
        <w:rPr>
          <w:rFonts w:ascii="Arial" w:eastAsia="Times New Roman" w:hAnsi="Arial" w:cs="Arial"/>
          <w:b/>
          <w:bCs/>
          <w:color w:val="7A7A7A"/>
          <w:sz w:val="28"/>
          <w:szCs w:val="28"/>
          <w:u w:val="single"/>
        </w:rPr>
        <w:t>INTERNATIONALE</w:t>
      </w:r>
      <w:r w:rsidR="00734D07">
        <w:rPr>
          <w:rFonts w:ascii="Arial" w:eastAsia="Times New Roman" w:hAnsi="Arial" w:cs="Arial"/>
          <w:b/>
          <w:bCs/>
          <w:color w:val="7A7A7A"/>
          <w:sz w:val="28"/>
          <w:szCs w:val="28"/>
        </w:rPr>
        <w:t>, ANNÉE 2014</w:t>
      </w:r>
    </w:p>
    <w:p w:rsidR="00F22D80" w:rsidRDefault="00C0223D" w:rsidP="00734D07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</w:t>
      </w:r>
      <w:proofErr w:type="spellStart"/>
      <w:r>
        <w:rPr>
          <w:b/>
          <w:sz w:val="26"/>
          <w:szCs w:val="26"/>
        </w:rPr>
        <w:t>L</w:t>
      </w:r>
      <w:r w:rsidR="009354B0" w:rsidRPr="00F22D80">
        <w:rPr>
          <w:b/>
          <w:sz w:val="26"/>
          <w:szCs w:val="26"/>
        </w:rPr>
        <w:t>abex</w:t>
      </w:r>
      <w:proofErr w:type="spellEnd"/>
      <w:r w:rsidR="009354B0" w:rsidRPr="00F22D80">
        <w:rPr>
          <w:b/>
          <w:sz w:val="26"/>
          <w:szCs w:val="26"/>
        </w:rPr>
        <w:t xml:space="preserve"> MME-DII offre </w:t>
      </w:r>
      <w:r w:rsidR="007B7A5C">
        <w:rPr>
          <w:b/>
          <w:sz w:val="26"/>
          <w:szCs w:val="26"/>
        </w:rPr>
        <w:t xml:space="preserve">un financement pour des positions de chercheur invité </w:t>
      </w:r>
      <w:r w:rsidR="00637E0F">
        <w:rPr>
          <w:b/>
          <w:sz w:val="26"/>
          <w:szCs w:val="26"/>
        </w:rPr>
        <w:t>au cours de l’année 201</w:t>
      </w:r>
      <w:r w:rsidR="0060374C">
        <w:rPr>
          <w:b/>
          <w:sz w:val="26"/>
          <w:szCs w:val="26"/>
        </w:rPr>
        <w:t>4</w:t>
      </w:r>
      <w:r w:rsidR="00637E0F">
        <w:rPr>
          <w:b/>
          <w:sz w:val="26"/>
          <w:szCs w:val="26"/>
        </w:rPr>
        <w:t>-201</w:t>
      </w:r>
      <w:r w:rsidR="0060374C">
        <w:rPr>
          <w:b/>
          <w:sz w:val="26"/>
          <w:szCs w:val="26"/>
        </w:rPr>
        <w:t>5</w:t>
      </w:r>
      <w:r w:rsidR="00637E0F">
        <w:rPr>
          <w:b/>
          <w:sz w:val="26"/>
          <w:szCs w:val="26"/>
        </w:rPr>
        <w:t>.</w:t>
      </w:r>
    </w:p>
    <w:p w:rsidR="00F22D80" w:rsidRPr="00F22D80" w:rsidRDefault="00F22D80" w:rsidP="00F22D80">
      <w:pPr>
        <w:spacing w:line="240" w:lineRule="auto"/>
        <w:rPr>
          <w:b/>
          <w:sz w:val="26"/>
          <w:szCs w:val="26"/>
        </w:rPr>
      </w:pPr>
    </w:p>
    <w:p w:rsidR="0060374C" w:rsidRDefault="0060374C" w:rsidP="0060374C">
      <w:pPr>
        <w:spacing w:line="240" w:lineRule="auto"/>
        <w:jc w:val="both"/>
      </w:pPr>
      <w:r>
        <w:rPr>
          <w:b/>
          <w:u w:val="single"/>
        </w:rPr>
        <w:t>Objet de la proposition</w:t>
      </w:r>
      <w:r w:rsidR="007B7A5C" w:rsidRPr="00637E0F">
        <w:rPr>
          <w:b/>
          <w:u w:val="single"/>
        </w:rPr>
        <w:t>:</w:t>
      </w:r>
      <w:r w:rsidR="007B7A5C">
        <w:rPr>
          <w:b/>
        </w:rPr>
        <w:t xml:space="preserve"> </w:t>
      </w:r>
      <w:r w:rsidR="007B7A5C" w:rsidRPr="007B7A5C">
        <w:t xml:space="preserve">le </w:t>
      </w:r>
      <w:r w:rsidR="007B7A5C">
        <w:t xml:space="preserve">comité </w:t>
      </w:r>
      <w:r>
        <w:t>exécutif</w:t>
      </w:r>
      <w:r w:rsidR="007B7A5C">
        <w:t xml:space="preserve"> a décidé d’allouer une enveloppe budgétaire de 50kEuros, au titre de l’année 201</w:t>
      </w:r>
      <w:r>
        <w:t>4</w:t>
      </w:r>
      <w:r w:rsidR="007B7A5C">
        <w:t xml:space="preserve"> pour l’invitation de chercheurs internationaux de haut niveau. Il s’agit de financer l’accueil de chercheurs souhaitant mener des recherches dans les domaines de spécialités</w:t>
      </w:r>
      <w:r w:rsidR="00C0223D">
        <w:t xml:space="preserve"> du </w:t>
      </w:r>
      <w:proofErr w:type="spellStart"/>
      <w:r w:rsidR="00C0223D">
        <w:t>L</w:t>
      </w:r>
      <w:r w:rsidR="007B7A5C">
        <w:t>abex</w:t>
      </w:r>
      <w:proofErr w:type="spellEnd"/>
      <w:r w:rsidR="007B7A5C">
        <w:t>, au sein d’un des laboratoires partenaires. Au-delà des recherches menées en collab</w:t>
      </w:r>
      <w:r w:rsidR="00C0223D">
        <w:t xml:space="preserve">oration avec des chercheurs du </w:t>
      </w:r>
      <w:proofErr w:type="spellStart"/>
      <w:r w:rsidR="00C0223D">
        <w:t>L</w:t>
      </w:r>
      <w:r w:rsidR="007B7A5C">
        <w:t>abex</w:t>
      </w:r>
      <w:proofErr w:type="spellEnd"/>
      <w:r w:rsidR="007B7A5C">
        <w:t xml:space="preserve">, le chercheur invité participera aux différentes activités du </w:t>
      </w:r>
      <w:proofErr w:type="spellStart"/>
      <w:r w:rsidR="00C0223D">
        <w:t>L</w:t>
      </w:r>
      <w:r w:rsidR="007B7A5C">
        <w:t>abex</w:t>
      </w:r>
      <w:proofErr w:type="spellEnd"/>
      <w:r w:rsidR="007B7A5C">
        <w:t xml:space="preserve"> (participation </w:t>
      </w:r>
      <w:r w:rsidR="00884E55">
        <w:t xml:space="preserve">à </w:t>
      </w:r>
      <w:r w:rsidR="007B7A5C">
        <w:t xml:space="preserve">ou </w:t>
      </w:r>
      <w:proofErr w:type="spellStart"/>
      <w:r w:rsidR="007B7A5C">
        <w:t>co</w:t>
      </w:r>
      <w:proofErr w:type="spellEnd"/>
      <w:r w:rsidR="007B7A5C">
        <w:t>-organisation de manifestations scientifiques, séminaires, cours avancés pour chercheurs, doctorants ou étudiants de master).</w:t>
      </w:r>
    </w:p>
    <w:p w:rsidR="0060374C" w:rsidRDefault="007B7A5C" w:rsidP="0060374C">
      <w:pPr>
        <w:spacing w:line="240" w:lineRule="auto"/>
        <w:jc w:val="both"/>
      </w:pPr>
      <w:r>
        <w:t xml:space="preserve">L’objectif visé est de promouvoir des séjours de durée moyenne à longue (de deux mois à un an). </w:t>
      </w:r>
      <w:r w:rsidR="00884E55">
        <w:br/>
        <w:t xml:space="preserve">En cas de séjour long, l’apport financier du </w:t>
      </w:r>
      <w:proofErr w:type="spellStart"/>
      <w:r w:rsidR="00C0223D">
        <w:t>L</w:t>
      </w:r>
      <w:r w:rsidR="00884E55">
        <w:t>abex</w:t>
      </w:r>
      <w:proofErr w:type="spellEnd"/>
      <w:r w:rsidR="00884E55">
        <w:t xml:space="preserve"> pourrait être complété par une contribution additionnelle de l’établissement d’accueil.</w:t>
      </w:r>
    </w:p>
    <w:p w:rsidR="00884E55" w:rsidRDefault="00C0223D" w:rsidP="0060374C">
      <w:pPr>
        <w:spacing w:line="240" w:lineRule="auto"/>
        <w:jc w:val="both"/>
      </w:pPr>
      <w:r>
        <w:t xml:space="preserve">Le financement du </w:t>
      </w:r>
      <w:proofErr w:type="spellStart"/>
      <w:r>
        <w:t>L</w:t>
      </w:r>
      <w:r w:rsidR="00884E55">
        <w:t>abex</w:t>
      </w:r>
      <w:proofErr w:type="spellEnd"/>
      <w:r w:rsidR="00884E55">
        <w:t xml:space="preserve"> permettra de prendre en charge les frais de transport et de séjour et/ou le versement d’une rémunération de professeur invité pendant la durée du séjour.</w:t>
      </w:r>
      <w:r w:rsidR="00D33FC5">
        <w:br/>
        <w:t xml:space="preserve">Les financements attribués permettront de financer des séjours au </w:t>
      </w:r>
      <w:r w:rsidR="0060374C">
        <w:t>cours de l’année académique 2014</w:t>
      </w:r>
      <w:r w:rsidR="00D33FC5">
        <w:t>-201</w:t>
      </w:r>
      <w:r w:rsidR="0060374C">
        <w:t>5</w:t>
      </w:r>
      <w:r w:rsidR="00D33FC5">
        <w:t>.</w:t>
      </w:r>
    </w:p>
    <w:p w:rsidR="00637E0F" w:rsidRPr="00D33FC5" w:rsidRDefault="0060374C" w:rsidP="00637E0F">
      <w:pPr>
        <w:spacing w:line="240" w:lineRule="auto"/>
        <w:rPr>
          <w:b/>
        </w:rPr>
      </w:pPr>
      <w:r>
        <w:rPr>
          <w:b/>
          <w:u w:val="single"/>
        </w:rPr>
        <w:t>Champ de l’appel à proposition</w:t>
      </w:r>
      <w:r w:rsidR="00637E0F" w:rsidRPr="00637E0F">
        <w:rPr>
          <w:b/>
          <w:u w:val="single"/>
        </w:rPr>
        <w:t>:</w:t>
      </w:r>
      <w:r>
        <w:t xml:space="preserve"> </w:t>
      </w:r>
      <w:r w:rsidR="00C0223D">
        <w:t xml:space="preserve">tous laboratoires membres du </w:t>
      </w:r>
      <w:proofErr w:type="spellStart"/>
      <w:r w:rsidR="00C0223D">
        <w:t>L</w:t>
      </w:r>
      <w:r w:rsidR="00637E0F">
        <w:t>abex</w:t>
      </w:r>
      <w:proofErr w:type="spellEnd"/>
      <w:r w:rsidR="00637E0F">
        <w:t xml:space="preserve"> </w:t>
      </w:r>
      <w:r w:rsidR="00637E0F">
        <w:br/>
      </w:r>
      <w:r>
        <w:rPr>
          <w:b/>
        </w:rPr>
        <w:t>NB</w:t>
      </w:r>
      <w:r w:rsidR="00637E0F" w:rsidRPr="00D33FC5">
        <w:rPr>
          <w:b/>
        </w:rPr>
        <w:t xml:space="preserve">: il est possible pour un laboratoire de soumettre plusieurs propositions. </w:t>
      </w:r>
    </w:p>
    <w:p w:rsidR="007B7A5C" w:rsidRPr="007B7A5C" w:rsidRDefault="007B7A5C" w:rsidP="0060374C">
      <w:pPr>
        <w:spacing w:line="240" w:lineRule="auto"/>
        <w:jc w:val="both"/>
        <w:rPr>
          <w:b/>
        </w:rPr>
      </w:pPr>
      <w:r w:rsidRPr="00637E0F">
        <w:rPr>
          <w:b/>
          <w:u w:val="single"/>
        </w:rPr>
        <w:t>Calendrier</w:t>
      </w:r>
      <w:r w:rsidR="00637E0F">
        <w:rPr>
          <w:b/>
          <w:u w:val="single"/>
        </w:rPr>
        <w:t xml:space="preserve">, candidature </w:t>
      </w:r>
      <w:r w:rsidRPr="00637E0F">
        <w:rPr>
          <w:b/>
          <w:u w:val="single"/>
        </w:rPr>
        <w:t xml:space="preserve"> et procédure de sélection</w:t>
      </w:r>
      <w:r w:rsidR="00884E55" w:rsidRPr="00637E0F">
        <w:rPr>
          <w:b/>
          <w:u w:val="single"/>
        </w:rPr>
        <w:t>:</w:t>
      </w:r>
      <w:r w:rsidR="00884E55">
        <w:rPr>
          <w:b/>
        </w:rPr>
        <w:t xml:space="preserve"> </w:t>
      </w:r>
      <w:r w:rsidR="00884E55" w:rsidRPr="00884E55">
        <w:t>les pro</w:t>
      </w:r>
      <w:r w:rsidR="00884E55">
        <w:t xml:space="preserve">positions des laboratoires doivent être envoyées à l’adresse </w:t>
      </w:r>
      <w:hyperlink r:id="rId9" w:history="1">
        <w:r w:rsidR="00D33FC5" w:rsidRPr="00EF4E41">
          <w:rPr>
            <w:rStyle w:val="Lienhypertexte"/>
            <w:b/>
          </w:rPr>
          <w:t>labex.mmedii@gmail.com</w:t>
        </w:r>
      </w:hyperlink>
      <w:r w:rsidR="00D33FC5">
        <w:rPr>
          <w:b/>
          <w:color w:val="0070C0"/>
        </w:rPr>
        <w:t xml:space="preserve"> </w:t>
      </w:r>
      <w:r w:rsidR="00D33FC5" w:rsidRPr="00D33FC5">
        <w:t>ava</w:t>
      </w:r>
      <w:r w:rsidR="00D33FC5">
        <w:t xml:space="preserve">nt le </w:t>
      </w:r>
      <w:r w:rsidR="0060374C">
        <w:t>vendredi</w:t>
      </w:r>
      <w:r w:rsidR="00D33FC5">
        <w:t xml:space="preserve"> </w:t>
      </w:r>
      <w:r w:rsidR="0060374C">
        <w:t>28</w:t>
      </w:r>
      <w:r w:rsidR="00D33FC5">
        <w:t xml:space="preserve"> </w:t>
      </w:r>
      <w:r w:rsidR="0060374C">
        <w:t>février</w:t>
      </w:r>
      <w:r w:rsidR="00D33FC5">
        <w:t xml:space="preserve"> 201</w:t>
      </w:r>
      <w:r w:rsidR="0060374C">
        <w:t>4</w:t>
      </w:r>
      <w:r w:rsidR="00D33FC5">
        <w:t>. Elles seront discutées lors</w:t>
      </w:r>
      <w:r w:rsidR="00734D07">
        <w:t xml:space="preserve"> du</w:t>
      </w:r>
      <w:r w:rsidR="00D33FC5">
        <w:t xml:space="preserve"> comité scientifique du 1</w:t>
      </w:r>
      <w:r w:rsidR="0060374C">
        <w:t>2</w:t>
      </w:r>
      <w:r w:rsidR="00D33FC5">
        <w:t xml:space="preserve"> mars 201</w:t>
      </w:r>
      <w:r w:rsidR="0060374C">
        <w:t>4</w:t>
      </w:r>
      <w:r w:rsidR="00D33FC5">
        <w:t xml:space="preserve"> et examinée</w:t>
      </w:r>
      <w:r w:rsidR="0060374C">
        <w:t>s</w:t>
      </w:r>
      <w:r w:rsidR="00D33FC5">
        <w:t xml:space="preserve"> par le comité </w:t>
      </w:r>
      <w:r w:rsidR="0060374C">
        <w:t>exécutif</w:t>
      </w:r>
      <w:r w:rsidR="00D33FC5">
        <w:t>.</w:t>
      </w:r>
    </w:p>
    <w:p w:rsidR="007B7A5C" w:rsidRDefault="0060374C" w:rsidP="00F22D80">
      <w:pPr>
        <w:spacing w:line="240" w:lineRule="auto"/>
      </w:pPr>
      <w:r>
        <w:rPr>
          <w:b/>
          <w:u w:val="single"/>
        </w:rPr>
        <w:t>Dossier de candidature</w:t>
      </w:r>
      <w:r w:rsidR="007B7A5C" w:rsidRPr="00637E0F">
        <w:rPr>
          <w:b/>
          <w:u w:val="single"/>
        </w:rPr>
        <w:t>:</w:t>
      </w:r>
      <w:r w:rsidR="00D33FC5">
        <w:rPr>
          <w:b/>
        </w:rPr>
        <w:t xml:space="preserve"> </w:t>
      </w:r>
      <w:r w:rsidR="00D33FC5" w:rsidRPr="00D33FC5">
        <w:t xml:space="preserve">Le </w:t>
      </w:r>
      <w:r w:rsidR="00D33FC5">
        <w:t>do</w:t>
      </w:r>
      <w:r>
        <w:t>ssier de candidature comprendra</w:t>
      </w:r>
      <w:r w:rsidR="00D33FC5">
        <w:t>:</w:t>
      </w:r>
    </w:p>
    <w:p w:rsidR="00D33FC5" w:rsidRDefault="00D33FC5" w:rsidP="0060374C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Une description de la thématique de recherche de l’invité proposé. Cette description devra mettre faire ressortir les liens ave</w:t>
      </w:r>
      <w:r w:rsidR="00C0223D">
        <w:t xml:space="preserve">c le programme de recherche du </w:t>
      </w:r>
      <w:proofErr w:type="spellStart"/>
      <w:r w:rsidR="00C0223D">
        <w:t>L</w:t>
      </w:r>
      <w:r>
        <w:t>abex</w:t>
      </w:r>
      <w:proofErr w:type="spellEnd"/>
      <w:r>
        <w:t xml:space="preserve"> et l’articulation avec l’activité de recherche du laboratoire d’accueil.</w:t>
      </w:r>
    </w:p>
    <w:p w:rsidR="00D33FC5" w:rsidRDefault="00D33FC5" w:rsidP="0060374C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Une présentation des contributions en</w:t>
      </w:r>
      <w:r w:rsidR="004F45FE">
        <w:t xml:space="preserve">visagées aux activités </w:t>
      </w:r>
      <w:r w:rsidR="00C0223D">
        <w:t xml:space="preserve">du </w:t>
      </w:r>
      <w:proofErr w:type="spellStart"/>
      <w:r w:rsidR="00C0223D">
        <w:t>L</w:t>
      </w:r>
      <w:bookmarkStart w:id="0" w:name="_GoBack"/>
      <w:bookmarkEnd w:id="0"/>
      <w:r w:rsidR="0060374C">
        <w:t>abex</w:t>
      </w:r>
      <w:proofErr w:type="spellEnd"/>
      <w:r>
        <w:t>: séminaires, manifestations scientifiques, cours avancé</w:t>
      </w:r>
      <w:r w:rsidR="0060374C">
        <w:t>s.</w:t>
      </w:r>
    </w:p>
    <w:p w:rsidR="00D33FC5" w:rsidRDefault="00D33FC5" w:rsidP="00D33FC5">
      <w:pPr>
        <w:pStyle w:val="Paragraphedeliste"/>
        <w:numPr>
          <w:ilvl w:val="0"/>
          <w:numId w:val="3"/>
        </w:numPr>
        <w:spacing w:line="240" w:lineRule="auto"/>
      </w:pPr>
      <w:r>
        <w:t>La durée et la période de séjour envisagée</w:t>
      </w:r>
      <w:r w:rsidR="0060374C">
        <w:t>.</w:t>
      </w:r>
    </w:p>
    <w:p w:rsidR="00D33FC5" w:rsidRDefault="00D33FC5" w:rsidP="00D33FC5">
      <w:pPr>
        <w:pStyle w:val="Paragraphedeliste"/>
        <w:numPr>
          <w:ilvl w:val="0"/>
          <w:numId w:val="3"/>
        </w:numPr>
        <w:spacing w:line="240" w:lineRule="auto"/>
      </w:pPr>
      <w:r>
        <w:t>Une description de l’aide financière demandée</w:t>
      </w:r>
      <w:r w:rsidR="0060374C">
        <w:t>.</w:t>
      </w:r>
    </w:p>
    <w:p w:rsidR="00D33FC5" w:rsidRDefault="00D33FC5" w:rsidP="00D33FC5">
      <w:pPr>
        <w:pStyle w:val="Paragraphedeliste"/>
        <w:numPr>
          <w:ilvl w:val="0"/>
          <w:numId w:val="3"/>
        </w:numPr>
        <w:spacing w:line="240" w:lineRule="auto"/>
      </w:pPr>
      <w:r>
        <w:t>Un CV complet de l’invité proposé.</w:t>
      </w:r>
    </w:p>
    <w:p w:rsidR="00D33FC5" w:rsidRDefault="00D33FC5" w:rsidP="00AF144F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6D505F" w:rsidTr="006D505F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74511373" wp14:editId="65640A07">
                  <wp:extent cx="793119" cy="498590"/>
                  <wp:effectExtent l="19050" t="0" r="6981" b="0"/>
                  <wp:docPr id="29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49E19412" wp14:editId="6DFA5519">
                  <wp:extent cx="952145" cy="263122"/>
                  <wp:effectExtent l="19050" t="0" r="355" b="0"/>
                  <wp:docPr id="30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79F82C3" wp14:editId="7D685538">
                  <wp:extent cx="605695" cy="294772"/>
                  <wp:effectExtent l="19050" t="0" r="3905" b="0"/>
                  <wp:docPr id="31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69A3224" wp14:editId="04825F08">
                  <wp:extent cx="872298" cy="539659"/>
                  <wp:effectExtent l="19050" t="0" r="4002" b="0"/>
                  <wp:docPr id="1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1884621E" wp14:editId="29B4D2D2">
                  <wp:extent cx="841562" cy="565135"/>
                  <wp:effectExtent l="19050" t="0" r="0" b="0"/>
                  <wp:docPr id="33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1908856D" wp14:editId="76F376D8">
                  <wp:extent cx="764721" cy="423286"/>
                  <wp:effectExtent l="19050" t="0" r="0" b="0"/>
                  <wp:docPr id="34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75232AE9" wp14:editId="613222F4">
                  <wp:extent cx="425450" cy="423323"/>
                  <wp:effectExtent l="19050" t="0" r="0" b="0"/>
                  <wp:docPr id="35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05F" w:rsidTr="00B12A53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DD7AF8" w:rsidP="00B12A53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05F" w:rsidRDefault="006D505F" w:rsidP="00B12A53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AF144F" w:rsidRPr="0087499E" w:rsidRDefault="00AF144F" w:rsidP="00C544C2">
      <w:pPr>
        <w:spacing w:line="240" w:lineRule="auto"/>
        <w:rPr>
          <w:lang w:val="en-US"/>
        </w:rPr>
      </w:pPr>
    </w:p>
    <w:sectPr w:rsidR="00AF144F" w:rsidRPr="0087499E" w:rsidSect="00D33F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58A3"/>
    <w:multiLevelType w:val="hybridMultilevel"/>
    <w:tmpl w:val="4C9A3B92"/>
    <w:lvl w:ilvl="0" w:tplc="4D5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0"/>
    <w:rsid w:val="000A5D71"/>
    <w:rsid w:val="001C3155"/>
    <w:rsid w:val="0027511E"/>
    <w:rsid w:val="002A1B9A"/>
    <w:rsid w:val="00302811"/>
    <w:rsid w:val="003A0F83"/>
    <w:rsid w:val="00481F83"/>
    <w:rsid w:val="00497A16"/>
    <w:rsid w:val="004F45FE"/>
    <w:rsid w:val="005424BB"/>
    <w:rsid w:val="00593B19"/>
    <w:rsid w:val="0060374C"/>
    <w:rsid w:val="00637E0F"/>
    <w:rsid w:val="00652D22"/>
    <w:rsid w:val="006D505F"/>
    <w:rsid w:val="00734D07"/>
    <w:rsid w:val="007B7A5C"/>
    <w:rsid w:val="007E285F"/>
    <w:rsid w:val="0087499E"/>
    <w:rsid w:val="00884E55"/>
    <w:rsid w:val="0090024F"/>
    <w:rsid w:val="009354B0"/>
    <w:rsid w:val="009507D8"/>
    <w:rsid w:val="009B2114"/>
    <w:rsid w:val="00A0597E"/>
    <w:rsid w:val="00A0600D"/>
    <w:rsid w:val="00A808D8"/>
    <w:rsid w:val="00AF144F"/>
    <w:rsid w:val="00BE0C4C"/>
    <w:rsid w:val="00C0223D"/>
    <w:rsid w:val="00C544C2"/>
    <w:rsid w:val="00D33FC5"/>
    <w:rsid w:val="00DD7AF8"/>
    <w:rsid w:val="00EB1C01"/>
    <w:rsid w:val="00F22D80"/>
    <w:rsid w:val="00FB7DD2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3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54B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54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54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4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3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54B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54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54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4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ex-mme-dii.u-cergy.fr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bex-mme-dii.u-cergy.fr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bex.mmedii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</dc:creator>
  <cp:lastModifiedBy>GUERDJIKOVA Ani</cp:lastModifiedBy>
  <cp:revision>6</cp:revision>
  <cp:lastPrinted>2012-05-24T02:20:00Z</cp:lastPrinted>
  <dcterms:created xsi:type="dcterms:W3CDTF">2014-01-13T09:50:00Z</dcterms:created>
  <dcterms:modified xsi:type="dcterms:W3CDTF">2014-01-14T14:11:00Z</dcterms:modified>
</cp:coreProperties>
</file>